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17" w:rsidRPr="00C35D82" w:rsidRDefault="006C43EF" w:rsidP="00BF1463">
      <w:pPr>
        <w:shd w:val="clear" w:color="auto" w:fill="BFBFBF" w:themeFill="background1" w:themeFillShade="BF"/>
        <w:spacing w:line="360" w:lineRule="auto"/>
        <w:rPr>
          <w:rFonts w:ascii="Open Sans" w:hAnsi="Open Sans" w:cs="Open Sans"/>
          <w:b/>
          <w:bCs/>
          <w:sz w:val="20"/>
          <w:szCs w:val="20"/>
        </w:rPr>
      </w:pPr>
      <w:r w:rsidRPr="00C35D82">
        <w:rPr>
          <w:rFonts w:ascii="Open Sans" w:hAnsi="Open Sans" w:cs="Open Sans"/>
          <w:b/>
          <w:bCs/>
          <w:sz w:val="20"/>
          <w:szCs w:val="20"/>
        </w:rPr>
        <w:t>A</w:t>
      </w:r>
      <w:r w:rsidR="00C35D82" w:rsidRPr="00C35D82">
        <w:rPr>
          <w:rFonts w:ascii="Open Sans" w:hAnsi="Open Sans" w:cs="Open Sans"/>
          <w:b/>
          <w:bCs/>
          <w:sz w:val="20"/>
          <w:szCs w:val="20"/>
        </w:rPr>
        <w:t>NEXO SUPERVISIÓN DE ANIMALES</w:t>
      </w:r>
    </w:p>
    <w:p w:rsidR="00F66717" w:rsidRPr="00C35D82" w:rsidRDefault="00F66717" w:rsidP="00BF1463">
      <w:pPr>
        <w:spacing w:line="360" w:lineRule="auto"/>
        <w:rPr>
          <w:rFonts w:ascii="Open Sans" w:hAnsi="Open Sans" w:cs="Open Sans"/>
          <w:b/>
          <w:bCs/>
          <w:sz w:val="20"/>
          <w:szCs w:val="20"/>
        </w:rPr>
      </w:pPr>
    </w:p>
    <w:p w:rsidR="00C35D82" w:rsidRPr="00C35D82" w:rsidRDefault="00C35D82" w:rsidP="00BF1463">
      <w:pPr>
        <w:spacing w:line="360" w:lineRule="auto"/>
        <w:rPr>
          <w:rFonts w:ascii="Open Sans" w:hAnsi="Open Sans" w:cs="Open Sans"/>
          <w:b/>
          <w:sz w:val="20"/>
          <w:szCs w:val="20"/>
        </w:rPr>
      </w:pPr>
      <w:r w:rsidRPr="00C35D82">
        <w:rPr>
          <w:rFonts w:ascii="Open Sans" w:hAnsi="Open Sans" w:cs="Open Sans"/>
          <w:b/>
          <w:sz w:val="20"/>
          <w:szCs w:val="20"/>
        </w:rPr>
        <w:t>Control del bienestar de los animales durante el procedimiento</w:t>
      </w:r>
    </w:p>
    <w:p w:rsidR="00C35D82" w:rsidRPr="00C35D82" w:rsidRDefault="00C35D82" w:rsidP="00BF1463">
      <w:pPr>
        <w:spacing w:line="360" w:lineRule="auto"/>
        <w:rPr>
          <w:rFonts w:ascii="Open Sans" w:hAnsi="Open Sans" w:cs="Open Sans"/>
          <w:b/>
          <w:sz w:val="20"/>
          <w:szCs w:val="20"/>
          <w:u w:val="single"/>
        </w:rPr>
      </w:pP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b/>
          <w:sz w:val="20"/>
          <w:szCs w:val="20"/>
        </w:rPr>
        <w:t>A) Fases del procedimiento en las que el animal puede padecer dolor, estrés y/ angustia.</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En este apartado deben detallarse las situaciones en las que a priori se pueda esperar causar dolor, angustia, estrés y/o se comprometa el bienestar del animal. Ejemplos:</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a) </w:t>
      </w:r>
      <w:r w:rsidRPr="00C35D82">
        <w:rPr>
          <w:rFonts w:ascii="Open Sans" w:hAnsi="Open Sans" w:cs="Open Sans"/>
          <w:sz w:val="20"/>
          <w:szCs w:val="20"/>
        </w:rPr>
        <w:t>En el caso de inoculaciones, la/s fase/s en la/s que el animal puede presentar las alteraciones descritas serán:</w:t>
      </w:r>
    </w:p>
    <w:p w:rsidR="00C35D82" w:rsidRPr="00C35D82" w:rsidRDefault="00C35D82" w:rsidP="00BF1463">
      <w:pPr>
        <w:spacing w:line="360" w:lineRule="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el momento de la inoculación si el agente en cuestión es irritante, etc…</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el momento de aparición de los efectos del agente inoculado (drogas cancerígenas, agentes tóxicos etc…)</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b) </w:t>
      </w:r>
      <w:r w:rsidRPr="00C35D82">
        <w:rPr>
          <w:rFonts w:ascii="Open Sans" w:hAnsi="Open Sans" w:cs="Open Sans"/>
          <w:sz w:val="20"/>
          <w:szCs w:val="20"/>
        </w:rPr>
        <w:t>En el caso de protocolos de irradiación:</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 xml:space="preserve">fase en la que pueden presentarse diarreas </w:t>
      </w:r>
      <w:proofErr w:type="spellStart"/>
      <w:r w:rsidRPr="00C35D82">
        <w:rPr>
          <w:rFonts w:ascii="Open Sans" w:hAnsi="Open Sans" w:cs="Open Sans"/>
          <w:sz w:val="20"/>
          <w:szCs w:val="20"/>
        </w:rPr>
        <w:t>etc</w:t>
      </w:r>
      <w:proofErr w:type="spellEnd"/>
      <w:r w:rsidRPr="00C35D82">
        <w:rPr>
          <w:rFonts w:ascii="Open Sans" w:hAnsi="Open Sans" w:cs="Open Sans"/>
          <w:sz w:val="20"/>
          <w:szCs w:val="20"/>
        </w:rPr>
        <w:t>, por efecto de la irradiación</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fase en la que se prevea el desarrollo de tumores etc</w:t>
      </w:r>
      <w:r w:rsidR="00E11D4E">
        <w:rPr>
          <w:rFonts w:ascii="Open Sans" w:hAnsi="Open Sans" w:cs="Open Sans"/>
          <w:sz w:val="20"/>
          <w:szCs w:val="20"/>
        </w:rPr>
        <w:t>.</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c) </w:t>
      </w:r>
      <w:r w:rsidRPr="00C35D82">
        <w:rPr>
          <w:rFonts w:ascii="Open Sans" w:hAnsi="Open Sans" w:cs="Open Sans"/>
          <w:sz w:val="20"/>
          <w:szCs w:val="20"/>
        </w:rPr>
        <w:t>En el caso de generación de líneas de animales transgénicos cuyo genotipo predisponga a padecer alteraciones concretas:</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edad a la que se prevea la aparición de los síntomas.</w:t>
      </w:r>
    </w:p>
    <w:p w:rsidR="00C35D82" w:rsidRPr="00C35D82" w:rsidRDefault="00C35D82" w:rsidP="00BF1463">
      <w:pPr>
        <w:spacing w:line="360" w:lineRule="auto"/>
        <w:rPr>
          <w:rFonts w:ascii="Open Sans" w:hAnsi="Open Sans" w:cs="Open Sans"/>
          <w:sz w:val="20"/>
          <w:szCs w:val="20"/>
        </w:rPr>
      </w:pP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Especificar en tiempo, si se conoce, la fase en que se espera la aparición de estos síntomas (</w:t>
      </w:r>
      <w:proofErr w:type="spellStart"/>
      <w:r w:rsidRPr="00C35D82">
        <w:rPr>
          <w:rFonts w:ascii="Open Sans" w:hAnsi="Open Sans" w:cs="Open Sans"/>
          <w:sz w:val="20"/>
          <w:szCs w:val="20"/>
        </w:rPr>
        <w:t>ej</w:t>
      </w:r>
      <w:proofErr w:type="spellEnd"/>
      <w:r w:rsidRPr="00C35D82">
        <w:rPr>
          <w:rFonts w:ascii="Open Sans" w:hAnsi="Open Sans" w:cs="Open Sans"/>
          <w:sz w:val="20"/>
          <w:szCs w:val="20"/>
        </w:rPr>
        <w:t>; dos semanas post- irradiación, 3 días post-inoculación). Si no es así, la descripción de dicha fase se hará en función de los signos clínicos previstos.</w:t>
      </w:r>
    </w:p>
    <w:p w:rsidR="00C35D82" w:rsidRPr="00C35D82" w:rsidRDefault="00C35D82" w:rsidP="00BF1463">
      <w:pPr>
        <w:spacing w:line="360" w:lineRule="auto"/>
        <w:rPr>
          <w:rFonts w:ascii="Open Sans" w:hAnsi="Open Sans" w:cs="Open Sans"/>
          <w:sz w:val="20"/>
          <w:szCs w:val="20"/>
        </w:rPr>
      </w:pP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Si se desconoce el potencial del procedimiento en cuestión para comprometer el bienestar del animal, el régimen de supervisión de los animales (tanto la frecuencia como duración e inicio de la misma) deberá ser el adecuado para poder detectar la aparición de dolor, estrés y/o angustia en sus primeras manifestaciones.</w:t>
      </w:r>
    </w:p>
    <w:p w:rsidR="00C35D82" w:rsidRDefault="00C35D82" w:rsidP="00BF1463">
      <w:pPr>
        <w:suppressAutoHyphens w:val="0"/>
        <w:rPr>
          <w:rFonts w:ascii="Open Sans" w:hAnsi="Open Sans" w:cs="Open Sans"/>
          <w:sz w:val="20"/>
          <w:szCs w:val="20"/>
        </w:rPr>
      </w:pPr>
      <w:r>
        <w:rPr>
          <w:rFonts w:ascii="Open Sans" w:hAnsi="Open Sans" w:cs="Open Sans"/>
          <w:sz w:val="20"/>
          <w:szCs w:val="20"/>
        </w:rPr>
        <w:br w:type="page"/>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b/>
          <w:sz w:val="20"/>
          <w:szCs w:val="20"/>
        </w:rPr>
        <w:lastRenderedPageBreak/>
        <w:t xml:space="preserve">B) </w:t>
      </w:r>
      <w:r w:rsidRPr="00C35D82">
        <w:rPr>
          <w:rFonts w:ascii="Open Sans" w:hAnsi="Open Sans" w:cs="Open Sans"/>
          <w:b/>
          <w:sz w:val="20"/>
          <w:szCs w:val="20"/>
        </w:rPr>
        <w:t>Protocolo de supervisión del bienestar de los animales</w:t>
      </w:r>
    </w:p>
    <w:p w:rsidR="00C35D82" w:rsidRPr="00C35D82" w:rsidRDefault="00C35D82" w:rsidP="00BF1463">
      <w:pPr>
        <w:spacing w:line="360" w:lineRule="auto"/>
        <w:rPr>
          <w:rFonts w:ascii="Open Sans" w:hAnsi="Open Sans" w:cs="Open Sans"/>
          <w:b/>
          <w:sz w:val="20"/>
          <w:szCs w:val="20"/>
          <w:u w:val="single"/>
        </w:rPr>
      </w:pP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La supervisión de los animales debe realizarse mediante la valoración de ciertos parámetros indicativos del bienestar animal. Puesto que, dependiendo del procedimiento, el bienestar del animal puede verse comprometido de muy distintas maneras, aquí únicamente se especifican aquellos parámetros “generales” comúnmente utilizados en la descripción del “estad</w:t>
      </w:r>
      <w:r>
        <w:rPr>
          <w:rFonts w:ascii="Open Sans" w:hAnsi="Open Sans" w:cs="Open Sans"/>
          <w:sz w:val="20"/>
          <w:szCs w:val="20"/>
        </w:rPr>
        <w:t>o de salud” de ratas y ratones.</w:t>
      </w:r>
    </w:p>
    <w:p w:rsidR="00C35D82" w:rsidRPr="00C35D82" w:rsidRDefault="00C35D82" w:rsidP="00BF1463">
      <w:pPr>
        <w:spacing w:line="360" w:lineRule="auto"/>
        <w:rPr>
          <w:rFonts w:ascii="Open Sans" w:hAnsi="Open Sans" w:cs="Open Sans"/>
          <w:sz w:val="20"/>
          <w:szCs w:val="20"/>
        </w:rPr>
      </w:pP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Si por la naturaleza del procedimiento (ej</w:t>
      </w:r>
      <w:r>
        <w:rPr>
          <w:rFonts w:ascii="Open Sans" w:hAnsi="Open Sans" w:cs="Open Sans"/>
          <w:sz w:val="20"/>
          <w:szCs w:val="20"/>
        </w:rPr>
        <w:t>.:</w:t>
      </w:r>
      <w:r w:rsidRPr="00C35D82">
        <w:rPr>
          <w:rFonts w:ascii="Open Sans" w:hAnsi="Open Sans" w:cs="Open Sans"/>
          <w:sz w:val="20"/>
          <w:szCs w:val="20"/>
        </w:rPr>
        <w:t xml:space="preserve"> ensayos de generación de tumores, generación de lesiones determinadas, protocolos de inducción de linfomas, líneas transgénicas que desarrollen patologías concretas…) son esperables signos clínicos específicos (aparición de tumores, disnea, caquexia, fiebre, ulceraciones…) dichos signos deberán estar incluidos en la supervisión y ser valorados de acuerdo con la gravedad que presenten.</w:t>
      </w:r>
    </w:p>
    <w:p w:rsidR="00C35D82" w:rsidRPr="00C35D82" w:rsidRDefault="00C35D82" w:rsidP="00BF1463">
      <w:pPr>
        <w:spacing w:line="360" w:lineRule="auto"/>
        <w:rPr>
          <w:rFonts w:ascii="Open Sans" w:hAnsi="Open Sans" w:cs="Open Sans"/>
          <w:sz w:val="20"/>
          <w:szCs w:val="20"/>
        </w:rPr>
      </w:pP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Los parámetros generales a observar son:</w:t>
      </w:r>
    </w:p>
    <w:p w:rsidR="00C35D82" w:rsidRPr="00C35D82" w:rsidRDefault="00C35D82" w:rsidP="00BF1463">
      <w:pPr>
        <w:spacing w:line="360" w:lineRule="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Cambios en peso corporal</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Apariencia física: pilo-erección, posturas indicativas de dolor, etc</w:t>
      </w:r>
      <w:r w:rsidR="00BF1463">
        <w:rPr>
          <w:rFonts w:ascii="Open Sans" w:hAnsi="Open Sans" w:cs="Open Sans"/>
          <w:sz w:val="20"/>
          <w:szCs w:val="20"/>
        </w:rPr>
        <w:t>.</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Comportamiento: aparición de comportamientos estereotipados, agresividad, cambios en comportamiento social…</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Respuesta a estímulos externos</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 </w:t>
      </w:r>
      <w:r w:rsidRPr="00C35D82">
        <w:rPr>
          <w:rFonts w:ascii="Open Sans" w:hAnsi="Open Sans" w:cs="Open Sans"/>
          <w:sz w:val="20"/>
          <w:szCs w:val="20"/>
        </w:rPr>
        <w:t>Signos clínicos:</w:t>
      </w:r>
    </w:p>
    <w:p w:rsidR="00C35D82" w:rsidRPr="00C35D82" w:rsidRDefault="00C35D82" w:rsidP="00BF1463">
      <w:pPr>
        <w:spacing w:line="360" w:lineRule="auto"/>
        <w:rPr>
          <w:rFonts w:ascii="Open Sans" w:hAnsi="Open Sans" w:cs="Open Sans"/>
          <w:sz w:val="20"/>
          <w:szCs w:val="20"/>
        </w:rPr>
      </w:pPr>
      <w:r>
        <w:rPr>
          <w:rFonts w:ascii="Open Sans" w:hAnsi="Open Sans" w:cs="Open Sans"/>
          <w:sz w:val="20"/>
          <w:szCs w:val="20"/>
        </w:rPr>
        <w:t xml:space="preserve">i. </w:t>
      </w:r>
      <w:r w:rsidRPr="00C35D82">
        <w:rPr>
          <w:rFonts w:ascii="Open Sans" w:hAnsi="Open Sans" w:cs="Open Sans"/>
          <w:sz w:val="20"/>
          <w:szCs w:val="20"/>
        </w:rPr>
        <w:t>Respiración: normal, laboriosa…</w:t>
      </w:r>
    </w:p>
    <w:p w:rsidR="00C35D82" w:rsidRPr="00C35D82" w:rsidRDefault="00C35D82" w:rsidP="00BF1463">
      <w:pPr>
        <w:spacing w:line="360" w:lineRule="auto"/>
        <w:rPr>
          <w:rFonts w:ascii="Open Sans" w:hAnsi="Open Sans" w:cs="Open Sans"/>
          <w:sz w:val="20"/>
          <w:szCs w:val="20"/>
        </w:rPr>
      </w:pPr>
      <w:r>
        <w:rPr>
          <w:rFonts w:ascii="Open Sans" w:hAnsi="Open Sans" w:cs="Open Sans"/>
          <w:sz w:val="20"/>
          <w:szCs w:val="20"/>
        </w:rPr>
        <w:t xml:space="preserve">ii. </w:t>
      </w:r>
      <w:r w:rsidRPr="00C35D82">
        <w:rPr>
          <w:rFonts w:ascii="Open Sans" w:hAnsi="Open Sans" w:cs="Open Sans"/>
          <w:sz w:val="20"/>
          <w:szCs w:val="20"/>
        </w:rPr>
        <w:t>Temperatura</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iii. </w:t>
      </w:r>
      <w:r w:rsidRPr="00C35D82">
        <w:rPr>
          <w:rFonts w:ascii="Open Sans" w:hAnsi="Open Sans" w:cs="Open Sans"/>
          <w:sz w:val="20"/>
          <w:szCs w:val="20"/>
        </w:rPr>
        <w:t>Temblores</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iv. </w:t>
      </w:r>
      <w:r w:rsidRPr="00C35D82">
        <w:rPr>
          <w:rFonts w:ascii="Open Sans" w:hAnsi="Open Sans" w:cs="Open Sans"/>
          <w:sz w:val="20"/>
          <w:szCs w:val="20"/>
        </w:rPr>
        <w:t>Convulsiones</w:t>
      </w:r>
    </w:p>
    <w:p w:rsidR="00C35D82" w:rsidRPr="00C35D82" w:rsidRDefault="00C35D82"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v. </w:t>
      </w:r>
      <w:r w:rsidRPr="00C35D82">
        <w:rPr>
          <w:rFonts w:ascii="Open Sans" w:hAnsi="Open Sans" w:cs="Open Sans"/>
          <w:sz w:val="20"/>
          <w:szCs w:val="20"/>
        </w:rPr>
        <w:t>Descarga nasal, salivación</w:t>
      </w:r>
    </w:p>
    <w:p w:rsidR="00BF1463" w:rsidRDefault="00BF1463">
      <w:pPr>
        <w:suppressAutoHyphens w:val="0"/>
        <w:rPr>
          <w:rFonts w:ascii="Open Sans" w:hAnsi="Open Sans" w:cs="Open Sans"/>
          <w:sz w:val="20"/>
          <w:szCs w:val="20"/>
        </w:rPr>
      </w:pPr>
      <w:r>
        <w:rPr>
          <w:rFonts w:ascii="Open Sans" w:hAnsi="Open Sans" w:cs="Open Sans"/>
          <w:sz w:val="20"/>
          <w:szCs w:val="20"/>
        </w:rPr>
        <w:br w:type="page"/>
      </w:r>
    </w:p>
    <w:p w:rsidR="00C35D82" w:rsidRPr="00C35D82" w:rsidRDefault="00C35D82" w:rsidP="00BF1463">
      <w:pPr>
        <w:spacing w:line="360" w:lineRule="auto"/>
        <w:rPr>
          <w:rFonts w:ascii="Open Sans" w:hAnsi="Open Sans" w:cs="Open Sans"/>
          <w:b/>
          <w:sz w:val="20"/>
          <w:szCs w:val="20"/>
        </w:rPr>
      </w:pPr>
      <w:r w:rsidRPr="00C35D82">
        <w:rPr>
          <w:rFonts w:ascii="Open Sans" w:hAnsi="Open Sans" w:cs="Open Sans"/>
          <w:b/>
          <w:sz w:val="20"/>
          <w:szCs w:val="20"/>
        </w:rPr>
        <w:lastRenderedPageBreak/>
        <w:t>C) Control, duración y frecuencia de la supervisión</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En función de las alteraciones esperadas y el momento en que se prevea su aparición, detallar:</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a) En qué momento se iniciará la supervisión del animal. Ej</w:t>
      </w:r>
      <w:r>
        <w:rPr>
          <w:rFonts w:ascii="Open Sans" w:hAnsi="Open Sans" w:cs="Open Sans"/>
          <w:sz w:val="20"/>
          <w:szCs w:val="20"/>
        </w:rPr>
        <w:t>.:</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 caso 1: dos horas después de la inoculación de un agente tóxico cuyos efectos son espe</w:t>
      </w:r>
      <w:r>
        <w:rPr>
          <w:rFonts w:ascii="Open Sans" w:hAnsi="Open Sans" w:cs="Open Sans"/>
          <w:sz w:val="20"/>
          <w:szCs w:val="20"/>
        </w:rPr>
        <w:t>rables a partir de ese momento,</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 xml:space="preserve">- caso 2: 6 semanas tras un protocolo de inducción de linfomas </w:t>
      </w:r>
      <w:proofErr w:type="spellStart"/>
      <w:r w:rsidRPr="00C35D82">
        <w:rPr>
          <w:rFonts w:ascii="Open Sans" w:hAnsi="Open Sans" w:cs="Open Sans"/>
          <w:sz w:val="20"/>
          <w:szCs w:val="20"/>
        </w:rPr>
        <w:t>tímicos</w:t>
      </w:r>
      <w:proofErr w:type="spellEnd"/>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b</w:t>
      </w:r>
      <w:r w:rsidR="00BF1463">
        <w:rPr>
          <w:rFonts w:ascii="Open Sans" w:hAnsi="Open Sans" w:cs="Open Sans"/>
          <w:sz w:val="20"/>
          <w:szCs w:val="20"/>
        </w:rPr>
        <w:t>) Duración. Ej.</w:t>
      </w:r>
    </w:p>
    <w:p w:rsidR="00C35D82" w:rsidRPr="00C35D82" w:rsidRDefault="00BF1463" w:rsidP="00BF1463">
      <w:pPr>
        <w:spacing w:line="360" w:lineRule="auto"/>
        <w:rPr>
          <w:rFonts w:ascii="Open Sans" w:hAnsi="Open Sans" w:cs="Open Sans"/>
          <w:sz w:val="20"/>
          <w:szCs w:val="20"/>
        </w:rPr>
      </w:pPr>
      <w:r>
        <w:rPr>
          <w:rFonts w:ascii="Open Sans" w:hAnsi="Open Sans" w:cs="Open Sans"/>
          <w:sz w:val="20"/>
          <w:szCs w:val="20"/>
        </w:rPr>
        <w:t>- caso 1: durante 4 horas</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 caso 2: durante 16-20 semanas</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c) Frecuencia. Ej</w:t>
      </w:r>
      <w:r w:rsidR="00BF1463">
        <w:rPr>
          <w:rFonts w:ascii="Open Sans" w:hAnsi="Open Sans" w:cs="Open Sans"/>
          <w:sz w:val="20"/>
          <w:szCs w:val="20"/>
        </w:rPr>
        <w:t>.</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 caso 1: cada 15 min.</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 caso 2: una vez por semana</w:t>
      </w:r>
    </w:p>
    <w:p w:rsidR="00C35D82" w:rsidRPr="00B14911" w:rsidRDefault="00C35D82" w:rsidP="00BF1463">
      <w:pPr>
        <w:spacing w:line="360" w:lineRule="auto"/>
        <w:rPr>
          <w:rFonts w:ascii="Open Sans" w:hAnsi="Open Sans" w:cs="Open Sans"/>
          <w:sz w:val="16"/>
          <w:szCs w:val="16"/>
        </w:rPr>
      </w:pPr>
    </w:p>
    <w:p w:rsidR="00C35D82" w:rsidRPr="00C35D82" w:rsidRDefault="00BF1463" w:rsidP="00BF1463">
      <w:pPr>
        <w:spacing w:line="360" w:lineRule="auto"/>
        <w:rPr>
          <w:rFonts w:ascii="Open Sans" w:hAnsi="Open Sans" w:cs="Open Sans"/>
          <w:b/>
          <w:sz w:val="20"/>
          <w:szCs w:val="20"/>
        </w:rPr>
      </w:pPr>
      <w:r w:rsidRPr="00BF1463">
        <w:rPr>
          <w:rFonts w:ascii="Open Sans" w:hAnsi="Open Sans" w:cs="Open Sans"/>
          <w:b/>
          <w:sz w:val="20"/>
          <w:szCs w:val="20"/>
          <w:shd w:val="clear" w:color="auto" w:fill="808080" w:themeFill="background1" w:themeFillShade="80"/>
        </w:rPr>
        <w:t xml:space="preserve">        </w:t>
      </w:r>
      <w:r>
        <w:rPr>
          <w:rFonts w:ascii="Open Sans" w:hAnsi="Open Sans" w:cs="Open Sans"/>
          <w:b/>
          <w:sz w:val="20"/>
          <w:szCs w:val="20"/>
        </w:rPr>
        <w:t xml:space="preserve">  </w:t>
      </w:r>
      <w:r w:rsidR="00C35D82" w:rsidRPr="00C35D82">
        <w:rPr>
          <w:rFonts w:ascii="Open Sans" w:hAnsi="Open Sans" w:cs="Open Sans"/>
          <w:b/>
          <w:sz w:val="20"/>
          <w:szCs w:val="20"/>
        </w:rPr>
        <w:t>ACTUACIÓN EN CASO DE MANIFESTARSE ALTERACIONES DEL BIENESTAR, DOLOR O ANGUSTIA</w:t>
      </w:r>
    </w:p>
    <w:p w:rsidR="00B14911" w:rsidRPr="00B14911" w:rsidRDefault="00B14911" w:rsidP="00BF1463">
      <w:pPr>
        <w:spacing w:line="360" w:lineRule="auto"/>
        <w:rPr>
          <w:rFonts w:ascii="Open Sans" w:hAnsi="Open Sans" w:cs="Open Sans"/>
          <w:b/>
          <w:sz w:val="12"/>
          <w:szCs w:val="12"/>
        </w:rPr>
      </w:pPr>
    </w:p>
    <w:p w:rsidR="00C35D82" w:rsidRPr="00C35D82" w:rsidRDefault="00C35D82" w:rsidP="00BF1463">
      <w:pPr>
        <w:spacing w:line="360" w:lineRule="auto"/>
        <w:rPr>
          <w:rFonts w:ascii="Open Sans" w:hAnsi="Open Sans" w:cs="Open Sans"/>
          <w:sz w:val="20"/>
          <w:szCs w:val="20"/>
          <w:u w:val="single"/>
        </w:rPr>
      </w:pPr>
      <w:r w:rsidRPr="00BF1463">
        <w:rPr>
          <w:rFonts w:ascii="Open Sans" w:hAnsi="Open Sans" w:cs="Open Sans"/>
          <w:b/>
          <w:sz w:val="20"/>
          <w:szCs w:val="20"/>
        </w:rPr>
        <w:t>MEDIDAS CORRECTORAS PREVISTAS.</w:t>
      </w:r>
      <w:r w:rsidRPr="00C35D82">
        <w:rPr>
          <w:rFonts w:ascii="Open Sans" w:hAnsi="Open Sans" w:cs="Open Sans"/>
          <w:sz w:val="20"/>
          <w:szCs w:val="20"/>
        </w:rPr>
        <w:t xml:space="preserve"> Ejemplos:</w:t>
      </w:r>
    </w:p>
    <w:p w:rsidR="00C35D82" w:rsidRPr="00BF1463" w:rsidRDefault="00BF1463" w:rsidP="00BF1463">
      <w:pPr>
        <w:spacing w:line="360" w:lineRule="auto"/>
        <w:rPr>
          <w:rFonts w:ascii="Open Sans" w:hAnsi="Open Sans" w:cs="Open Sans"/>
          <w:sz w:val="20"/>
          <w:szCs w:val="20"/>
        </w:rPr>
      </w:pPr>
      <w:r>
        <w:rPr>
          <w:rFonts w:ascii="Open Sans" w:hAnsi="Open Sans" w:cs="Open Sans"/>
          <w:sz w:val="20"/>
          <w:szCs w:val="20"/>
        </w:rPr>
        <w:t xml:space="preserve">a. </w:t>
      </w:r>
      <w:r w:rsidR="00C35D82" w:rsidRPr="00BF1463">
        <w:rPr>
          <w:rFonts w:ascii="Open Sans" w:hAnsi="Open Sans" w:cs="Open Sans"/>
          <w:sz w:val="20"/>
          <w:szCs w:val="20"/>
        </w:rPr>
        <w:t>Si aparecen síntomas de dolor (Ej</w:t>
      </w:r>
      <w:r>
        <w:rPr>
          <w:rFonts w:ascii="Open Sans" w:hAnsi="Open Sans" w:cs="Open Sans"/>
          <w:sz w:val="20"/>
          <w:szCs w:val="20"/>
        </w:rPr>
        <w:t>.</w:t>
      </w:r>
      <w:r w:rsidR="00C35D82" w:rsidRPr="00BF1463">
        <w:rPr>
          <w:rFonts w:ascii="Open Sans" w:hAnsi="Open Sans" w:cs="Open Sans"/>
          <w:sz w:val="20"/>
          <w:szCs w:val="20"/>
        </w:rPr>
        <w:t xml:space="preserve"> dolor post-operatorio): detallar si está previsto la utilización de un agente analgésico y cuál sería el apropiado. De no ser así, explicar los motivos por los que no puede aportarse un régimen analgésico.</w:t>
      </w:r>
    </w:p>
    <w:p w:rsidR="00C35D82" w:rsidRPr="00C35D82" w:rsidRDefault="00BF1463" w:rsidP="00BF1463">
      <w:pPr>
        <w:suppressAutoHyphens w:val="0"/>
        <w:autoSpaceDN/>
        <w:spacing w:line="360" w:lineRule="auto"/>
        <w:textAlignment w:val="auto"/>
        <w:rPr>
          <w:rFonts w:ascii="Open Sans" w:hAnsi="Open Sans" w:cs="Open Sans"/>
          <w:sz w:val="20"/>
          <w:szCs w:val="20"/>
        </w:rPr>
      </w:pPr>
      <w:r>
        <w:rPr>
          <w:rFonts w:ascii="Open Sans" w:hAnsi="Open Sans" w:cs="Open Sans"/>
          <w:sz w:val="20"/>
          <w:szCs w:val="20"/>
        </w:rPr>
        <w:t xml:space="preserve">b. </w:t>
      </w:r>
      <w:r w:rsidR="00C35D82" w:rsidRPr="00C35D82">
        <w:rPr>
          <w:rFonts w:ascii="Open Sans" w:hAnsi="Open Sans" w:cs="Open Sans"/>
          <w:sz w:val="20"/>
          <w:szCs w:val="20"/>
        </w:rPr>
        <w:t>Si debido al procedimiento el animal presenta alteraciones que impiden una correcta alimentación (ej</w:t>
      </w:r>
      <w:r>
        <w:rPr>
          <w:rFonts w:ascii="Open Sans" w:hAnsi="Open Sans" w:cs="Open Sans"/>
          <w:sz w:val="20"/>
          <w:szCs w:val="20"/>
        </w:rPr>
        <w:t>.</w:t>
      </w:r>
      <w:r w:rsidR="00C35D82" w:rsidRPr="00C35D82">
        <w:rPr>
          <w:rFonts w:ascii="Open Sans" w:hAnsi="Open Sans" w:cs="Open Sans"/>
          <w:sz w:val="20"/>
          <w:szCs w:val="20"/>
        </w:rPr>
        <w:t xml:space="preserve"> procedimientos que afectan a la locomoción e incapacitan al animal para acceder a agua y comida): ¿Qué medidas correctoras están previstas?</w:t>
      </w:r>
    </w:p>
    <w:p w:rsidR="00B14911" w:rsidRPr="00B14911" w:rsidRDefault="00B14911" w:rsidP="00BF1463">
      <w:pPr>
        <w:spacing w:line="360" w:lineRule="auto"/>
        <w:rPr>
          <w:rFonts w:ascii="Open Sans" w:hAnsi="Open Sans" w:cs="Open Sans"/>
          <w:b/>
          <w:sz w:val="12"/>
          <w:szCs w:val="12"/>
        </w:rPr>
      </w:pPr>
      <w:bookmarkStart w:id="0" w:name="_GoBack"/>
    </w:p>
    <w:bookmarkEnd w:id="0"/>
    <w:p w:rsidR="00C35D82" w:rsidRPr="00BF1463" w:rsidRDefault="00C35D82" w:rsidP="00BF1463">
      <w:pPr>
        <w:spacing w:line="360" w:lineRule="auto"/>
        <w:rPr>
          <w:rFonts w:ascii="Open Sans" w:hAnsi="Open Sans" w:cs="Open Sans"/>
          <w:b/>
          <w:sz w:val="20"/>
          <w:szCs w:val="20"/>
        </w:rPr>
      </w:pPr>
      <w:r w:rsidRPr="00BF1463">
        <w:rPr>
          <w:rFonts w:ascii="Open Sans" w:hAnsi="Open Sans" w:cs="Open Sans"/>
          <w:b/>
          <w:sz w:val="20"/>
          <w:szCs w:val="20"/>
        </w:rPr>
        <w:t>CRITERIOS DE PUNTO FINAL</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Basándose en los parámetros seleccionados para evaluar la condición del animal (ver protocolo de supervisión del bienestar) hay que determinar en qué momento se procederá a la eutanasia humanitaria del mismo. Para ello, los parámetros observados pueden “cuantificarse” asignando unos valores arbitrarios según la gravedad que presenten.</w:t>
      </w:r>
    </w:p>
    <w:p w:rsidR="00BF1463" w:rsidRDefault="00C35D82" w:rsidP="00BF1463">
      <w:pPr>
        <w:spacing w:line="360" w:lineRule="auto"/>
        <w:rPr>
          <w:rFonts w:ascii="Open Sans" w:hAnsi="Open Sans" w:cs="Open Sans"/>
          <w:sz w:val="20"/>
          <w:szCs w:val="20"/>
        </w:rPr>
      </w:pPr>
      <w:r w:rsidRPr="00C35D82">
        <w:rPr>
          <w:rFonts w:ascii="Open Sans" w:hAnsi="Open Sans" w:cs="Open Sans"/>
          <w:sz w:val="20"/>
          <w:szCs w:val="20"/>
        </w:rPr>
        <w:t xml:space="preserve">Por ejemplo, a la hora de valorar la </w:t>
      </w:r>
      <w:r w:rsidRPr="00BF1463">
        <w:rPr>
          <w:rFonts w:ascii="Open Sans" w:hAnsi="Open Sans" w:cs="Open Sans"/>
          <w:b/>
          <w:sz w:val="20"/>
          <w:szCs w:val="20"/>
        </w:rPr>
        <w:t>variación de peso corporal</w:t>
      </w:r>
      <w:r w:rsidRPr="00C35D82">
        <w:rPr>
          <w:rFonts w:ascii="Open Sans" w:hAnsi="Open Sans" w:cs="Open Sans"/>
          <w:sz w:val="20"/>
          <w:szCs w:val="20"/>
        </w:rPr>
        <w:t>, se considera como aceptable una disminución del 5-10%, moderada del 10-20% y substancial &gt; al 20% siendo este último valor el que se tomarí</w:t>
      </w:r>
      <w:r w:rsidR="00BF1463">
        <w:rPr>
          <w:rFonts w:ascii="Open Sans" w:hAnsi="Open Sans" w:cs="Open Sans"/>
          <w:sz w:val="20"/>
          <w:szCs w:val="20"/>
        </w:rPr>
        <w:t>a como criterio de punto final.</w:t>
      </w:r>
      <w:r w:rsidR="00BF1463">
        <w:rPr>
          <w:rFonts w:ascii="Open Sans" w:hAnsi="Open Sans" w:cs="Open Sans"/>
          <w:sz w:val="20"/>
          <w:szCs w:val="20"/>
        </w:rPr>
        <w:br w:type="page"/>
      </w:r>
    </w:p>
    <w:p w:rsidR="00BF1463" w:rsidRDefault="00C35D82" w:rsidP="00BF1463">
      <w:pPr>
        <w:spacing w:line="360" w:lineRule="auto"/>
        <w:rPr>
          <w:rFonts w:ascii="Open Sans" w:hAnsi="Open Sans" w:cs="Open Sans"/>
          <w:sz w:val="20"/>
          <w:szCs w:val="20"/>
        </w:rPr>
      </w:pPr>
      <w:r w:rsidRPr="00C35D82">
        <w:rPr>
          <w:rFonts w:ascii="Open Sans" w:hAnsi="Open Sans" w:cs="Open Sans"/>
          <w:sz w:val="20"/>
          <w:szCs w:val="20"/>
        </w:rPr>
        <w:lastRenderedPageBreak/>
        <w:t xml:space="preserve">Los </w:t>
      </w:r>
      <w:r w:rsidRPr="00BF1463">
        <w:rPr>
          <w:rFonts w:ascii="Open Sans" w:hAnsi="Open Sans" w:cs="Open Sans"/>
          <w:b/>
          <w:sz w:val="20"/>
          <w:szCs w:val="20"/>
        </w:rPr>
        <w:t>valores más difícilmente cuantificables</w:t>
      </w:r>
      <w:r w:rsidRPr="00C35D82">
        <w:rPr>
          <w:rFonts w:ascii="Open Sans" w:hAnsi="Open Sans" w:cs="Open Sans"/>
          <w:sz w:val="20"/>
          <w:szCs w:val="20"/>
        </w:rPr>
        <w:t xml:space="preserve"> como la postura, </w:t>
      </w:r>
      <w:proofErr w:type="spellStart"/>
      <w:r w:rsidRPr="00C35D82">
        <w:rPr>
          <w:rFonts w:ascii="Open Sans" w:hAnsi="Open Sans" w:cs="Open Sans"/>
          <w:sz w:val="20"/>
          <w:szCs w:val="20"/>
        </w:rPr>
        <w:t>piloerección</w:t>
      </w:r>
      <w:proofErr w:type="spellEnd"/>
      <w:r w:rsidRPr="00C35D82">
        <w:rPr>
          <w:rFonts w:ascii="Open Sans" w:hAnsi="Open Sans" w:cs="Open Sans"/>
          <w:sz w:val="20"/>
          <w:szCs w:val="20"/>
        </w:rPr>
        <w:t>, comportamiento social etc</w:t>
      </w:r>
      <w:r w:rsidR="00BF1463">
        <w:rPr>
          <w:rFonts w:ascii="Open Sans" w:hAnsi="Open Sans" w:cs="Open Sans"/>
          <w:sz w:val="20"/>
          <w:szCs w:val="20"/>
        </w:rPr>
        <w:t>.</w:t>
      </w:r>
      <w:r w:rsidRPr="00C35D82">
        <w:rPr>
          <w:rFonts w:ascii="Open Sans" w:hAnsi="Open Sans" w:cs="Open Sans"/>
          <w:sz w:val="20"/>
          <w:szCs w:val="20"/>
        </w:rPr>
        <w:t>, pueden valorarse según la escala: 0 si es normal, 1 si el parámetro en cuestión se ve ligeramente alterado, 2 si está afectado, 3 si está muy afectado, tomándose como criterio de punto final el momento en que la suma de dicha puntuación alcance un valor determinado, o la suma de varios valores alcance un valor.</w:t>
      </w:r>
    </w:p>
    <w:p w:rsidR="00C35D82" w:rsidRPr="00C35D82" w:rsidRDefault="00C35D82" w:rsidP="00BF1463">
      <w:pPr>
        <w:spacing w:line="360" w:lineRule="auto"/>
        <w:rPr>
          <w:rFonts w:ascii="Open Sans" w:hAnsi="Open Sans" w:cs="Open Sans"/>
          <w:b/>
          <w:sz w:val="20"/>
          <w:szCs w:val="20"/>
        </w:rPr>
      </w:pPr>
      <w:proofErr w:type="spellStart"/>
      <w:r w:rsidRPr="00C35D82">
        <w:rPr>
          <w:rFonts w:ascii="Open Sans" w:hAnsi="Open Sans" w:cs="Open Sans"/>
          <w:sz w:val="20"/>
          <w:szCs w:val="20"/>
        </w:rPr>
        <w:t>Vgr</w:t>
      </w:r>
      <w:proofErr w:type="spellEnd"/>
      <w:r w:rsidRPr="00C35D82">
        <w:rPr>
          <w:rFonts w:ascii="Open Sans" w:hAnsi="Open Sans" w:cs="Open Sans"/>
          <w:sz w:val="20"/>
          <w:szCs w:val="20"/>
        </w:rPr>
        <w:t xml:space="preserve">: si analizamos aspecto general y movilidad, </w:t>
      </w:r>
      <w:r w:rsidRPr="00C35D82">
        <w:rPr>
          <w:rFonts w:ascii="Open Sans" w:hAnsi="Open Sans" w:cs="Open Sans"/>
          <w:b/>
          <w:sz w:val="20"/>
          <w:szCs w:val="20"/>
        </w:rPr>
        <w:t>si aparece 3</w:t>
      </w:r>
      <w:r w:rsidRPr="00C35D82">
        <w:rPr>
          <w:rFonts w:ascii="Open Sans" w:hAnsi="Open Sans" w:cs="Open Sans"/>
          <w:sz w:val="20"/>
          <w:szCs w:val="20"/>
        </w:rPr>
        <w:t xml:space="preserve"> en algún valor o </w:t>
      </w:r>
      <w:r w:rsidRPr="00C35D82">
        <w:rPr>
          <w:rFonts w:ascii="Open Sans" w:hAnsi="Open Sans" w:cs="Open Sans"/>
          <w:b/>
          <w:sz w:val="20"/>
          <w:szCs w:val="20"/>
        </w:rPr>
        <w:t xml:space="preserve">si </w:t>
      </w:r>
      <w:r w:rsidR="00BF1463">
        <w:rPr>
          <w:rFonts w:ascii="Open Sans" w:hAnsi="Open Sans" w:cs="Open Sans"/>
          <w:b/>
          <w:sz w:val="20"/>
          <w:szCs w:val="20"/>
        </w:rPr>
        <w:t>la suma de ambos es mayor de 3.</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 xml:space="preserve">Hay que tener en cuenta que no existe un criterio de punto final adaptable a todos los procedimientos y es el investigador responsable del experimento el que, basándose en observaciones de ensayos piloto o por datos de experimentos similares ya publicados, debe confeccionar </w:t>
      </w:r>
      <w:r w:rsidRPr="00C35D82">
        <w:rPr>
          <w:rFonts w:ascii="Open Sans" w:hAnsi="Open Sans" w:cs="Open Sans"/>
          <w:b/>
          <w:sz w:val="20"/>
          <w:szCs w:val="20"/>
        </w:rPr>
        <w:t>su propio protocolo de determinación de punto final</w:t>
      </w:r>
      <w:r w:rsidRPr="00C35D82">
        <w:rPr>
          <w:rFonts w:ascii="Open Sans" w:hAnsi="Open Sans" w:cs="Open Sans"/>
          <w:sz w:val="20"/>
          <w:szCs w:val="20"/>
        </w:rPr>
        <w:t xml:space="preserve"> de manera que, por una parte , cumpla la normativa vigente (Real Decreto 1201/2005) en cuanto a protección de los animales utilizados en experimentación, y por otra se evite la pérdida de datos del estudio.</w:t>
      </w:r>
    </w:p>
    <w:p w:rsidR="00C35D82" w:rsidRPr="00C35D82" w:rsidRDefault="00C35D82" w:rsidP="00BF1463">
      <w:pPr>
        <w:spacing w:line="360" w:lineRule="auto"/>
        <w:rPr>
          <w:rFonts w:ascii="Open Sans" w:hAnsi="Open Sans" w:cs="Open Sans"/>
          <w:sz w:val="20"/>
          <w:szCs w:val="20"/>
        </w:rPr>
      </w:pP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Para más información sobre criterios de punto final:</w:t>
      </w:r>
    </w:p>
    <w:p w:rsidR="00C35D82" w:rsidRPr="00BF1463" w:rsidRDefault="00657FCD" w:rsidP="00BF1463">
      <w:pPr>
        <w:spacing w:line="360" w:lineRule="auto"/>
        <w:rPr>
          <w:rFonts w:ascii="Open Sans" w:hAnsi="Open Sans" w:cs="Open Sans"/>
          <w:sz w:val="20"/>
          <w:szCs w:val="20"/>
        </w:rPr>
      </w:pPr>
      <w:hyperlink r:id="rId9" w:history="1">
        <w:r w:rsidR="00C35D82" w:rsidRPr="00BF1463">
          <w:rPr>
            <w:rStyle w:val="Hipervnculo"/>
            <w:rFonts w:ascii="Open Sans" w:hAnsi="Open Sans" w:cs="Open Sans"/>
            <w:color w:val="auto"/>
            <w:sz w:val="20"/>
            <w:szCs w:val="20"/>
          </w:rPr>
          <w:t>http://dels.nas.edu/ilar_n/ilarjournal/41_2/</w:t>
        </w:r>
      </w:hyperlink>
    </w:p>
    <w:p w:rsidR="00C35D82" w:rsidRPr="00BF1463" w:rsidRDefault="00657FCD" w:rsidP="00BF1463">
      <w:pPr>
        <w:spacing w:line="360" w:lineRule="auto"/>
        <w:rPr>
          <w:rFonts w:ascii="Open Sans" w:hAnsi="Open Sans" w:cs="Open Sans"/>
          <w:sz w:val="20"/>
          <w:szCs w:val="20"/>
        </w:rPr>
      </w:pPr>
      <w:hyperlink r:id="rId10" w:anchor="toc" w:history="1">
        <w:r w:rsidR="00C35D82" w:rsidRPr="00BF1463">
          <w:rPr>
            <w:rStyle w:val="Hipervnculo"/>
            <w:rFonts w:ascii="Open Sans" w:hAnsi="Open Sans" w:cs="Open Sans"/>
            <w:color w:val="auto"/>
            <w:sz w:val="20"/>
            <w:szCs w:val="20"/>
          </w:rPr>
          <w:t>http://www.ccac.ca/en/CCAC_Programs/Guidelines_Policies/GDLINES/ENDPTS/APPOPEN.HTM#toc</w:t>
        </w:r>
      </w:hyperlink>
    </w:p>
    <w:p w:rsidR="00C35D82" w:rsidRPr="00BF1463" w:rsidRDefault="00657FCD" w:rsidP="00BF1463">
      <w:pPr>
        <w:spacing w:line="360" w:lineRule="auto"/>
        <w:rPr>
          <w:rFonts w:ascii="Open Sans" w:hAnsi="Open Sans" w:cs="Open Sans"/>
          <w:sz w:val="20"/>
          <w:szCs w:val="20"/>
        </w:rPr>
      </w:pPr>
      <w:hyperlink r:id="rId11" w:history="1">
        <w:r w:rsidR="00C35D82" w:rsidRPr="00BF1463">
          <w:rPr>
            <w:rStyle w:val="Hipervnculo"/>
            <w:rFonts w:ascii="Open Sans" w:hAnsi="Open Sans" w:cs="Open Sans"/>
            <w:color w:val="auto"/>
            <w:sz w:val="20"/>
            <w:szCs w:val="20"/>
          </w:rPr>
          <w:t>http://www.lal.org.uk/endpoints1.html</w:t>
        </w:r>
      </w:hyperlink>
    </w:p>
    <w:p w:rsidR="00C35D82" w:rsidRPr="00BF1463" w:rsidRDefault="00657FCD" w:rsidP="00BF1463">
      <w:pPr>
        <w:spacing w:line="360" w:lineRule="auto"/>
        <w:rPr>
          <w:rFonts w:ascii="Open Sans" w:hAnsi="Open Sans" w:cs="Open Sans"/>
          <w:sz w:val="20"/>
          <w:szCs w:val="20"/>
        </w:rPr>
      </w:pPr>
      <w:hyperlink r:id="rId12" w:history="1">
        <w:r w:rsidR="00C35D82" w:rsidRPr="00BF1463">
          <w:rPr>
            <w:rStyle w:val="Hipervnculo"/>
            <w:rFonts w:ascii="Open Sans" w:hAnsi="Open Sans" w:cs="Open Sans"/>
            <w:color w:val="auto"/>
            <w:sz w:val="20"/>
            <w:szCs w:val="20"/>
          </w:rPr>
          <w:t>http://www.secal.es/word-pdf/eutanasia1.pdf</w:t>
        </w:r>
      </w:hyperlink>
    </w:p>
    <w:p w:rsidR="00C35D82" w:rsidRPr="00BF1463" w:rsidRDefault="00657FCD" w:rsidP="00BF1463">
      <w:pPr>
        <w:spacing w:line="360" w:lineRule="auto"/>
        <w:rPr>
          <w:rFonts w:ascii="Open Sans" w:hAnsi="Open Sans" w:cs="Open Sans"/>
          <w:sz w:val="20"/>
          <w:szCs w:val="20"/>
        </w:rPr>
      </w:pPr>
      <w:hyperlink r:id="rId13" w:history="1">
        <w:r w:rsidR="00C35D82" w:rsidRPr="00BF1463">
          <w:rPr>
            <w:rStyle w:val="Hipervnculo"/>
            <w:rFonts w:ascii="Open Sans" w:hAnsi="Open Sans" w:cs="Open Sans"/>
            <w:color w:val="auto"/>
            <w:sz w:val="20"/>
            <w:szCs w:val="20"/>
          </w:rPr>
          <w:t>http://www.secal.es/word-pdf/eutanasia2.pdf</w:t>
        </w:r>
      </w:hyperlink>
    </w:p>
    <w:p w:rsidR="00C35D82" w:rsidRPr="00C35D82" w:rsidRDefault="00C35D82" w:rsidP="00BF1463">
      <w:pPr>
        <w:spacing w:line="360" w:lineRule="auto"/>
        <w:rPr>
          <w:rFonts w:ascii="Open Sans" w:hAnsi="Open Sans" w:cs="Open Sans"/>
          <w:sz w:val="20"/>
          <w:szCs w:val="20"/>
        </w:rPr>
      </w:pPr>
    </w:p>
    <w:p w:rsidR="00C35D82" w:rsidRPr="00BF1463" w:rsidRDefault="00C35D82" w:rsidP="00BF1463">
      <w:pPr>
        <w:spacing w:line="360" w:lineRule="auto"/>
        <w:rPr>
          <w:rFonts w:ascii="Open Sans" w:hAnsi="Open Sans" w:cs="Open Sans"/>
          <w:b/>
          <w:sz w:val="20"/>
          <w:szCs w:val="20"/>
        </w:rPr>
      </w:pPr>
      <w:r w:rsidRPr="00BF1463">
        <w:rPr>
          <w:rFonts w:ascii="Open Sans" w:hAnsi="Open Sans" w:cs="Open Sans"/>
          <w:b/>
          <w:sz w:val="20"/>
          <w:szCs w:val="20"/>
        </w:rPr>
        <w:t>EUTANASIA NO PROGRAMADA</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La eutanasia no programada se refiere al procedimiento por el cual se van a sacrificar aquellos animales que presentan alteraciones que comprometen su bienestar y a los que, según el  criterio de punto final elegido, es necesario eliminar.</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Este método de eutanasia puede coincidir o no con el descrito en el apartado 9.2 (Protocolo de eutanasia programada). Por ejemplo:</w:t>
      </w:r>
    </w:p>
    <w:p w:rsidR="009E4272" w:rsidRDefault="009E4272">
      <w:pPr>
        <w:suppressAutoHyphens w:val="0"/>
        <w:rPr>
          <w:rFonts w:ascii="Open Sans" w:hAnsi="Open Sans" w:cs="Open Sans"/>
          <w:sz w:val="20"/>
          <w:szCs w:val="20"/>
        </w:rPr>
      </w:pPr>
      <w:r>
        <w:rPr>
          <w:rFonts w:ascii="Open Sans" w:hAnsi="Open Sans" w:cs="Open Sans"/>
          <w:sz w:val="20"/>
          <w:szCs w:val="20"/>
        </w:rPr>
        <w:br w:type="page"/>
      </w:r>
    </w:p>
    <w:p w:rsidR="00C35D82" w:rsidRPr="00BF1463" w:rsidRDefault="00C35D82" w:rsidP="00BF1463">
      <w:pPr>
        <w:spacing w:line="360" w:lineRule="auto"/>
        <w:rPr>
          <w:rFonts w:ascii="Open Sans" w:hAnsi="Open Sans" w:cs="Open Sans"/>
          <w:b/>
          <w:sz w:val="20"/>
          <w:szCs w:val="20"/>
        </w:rPr>
      </w:pPr>
      <w:r w:rsidRPr="00BF1463">
        <w:rPr>
          <w:rFonts w:ascii="Open Sans" w:hAnsi="Open Sans" w:cs="Open Sans"/>
          <w:b/>
          <w:sz w:val="20"/>
          <w:szCs w:val="20"/>
        </w:rPr>
        <w:lastRenderedPageBreak/>
        <w:t>Caso 1: Eutanasia progr</w:t>
      </w:r>
      <w:r w:rsidR="00BF1463" w:rsidRPr="00BF1463">
        <w:rPr>
          <w:rFonts w:ascii="Open Sans" w:hAnsi="Open Sans" w:cs="Open Sans"/>
          <w:b/>
          <w:sz w:val="20"/>
          <w:szCs w:val="20"/>
        </w:rPr>
        <w:t>amada = Eutanasia no programada</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En un procedimiento de inducción de tumores en el cual todos los animales son sacrificados por dióxido de carbono, tanto los animales de eutanasia programada (por ejemplo animales sacrificados a determinados tiempos para obtención de muestras) como aquellos que deben ser eliminados al aplicarse el criterio de punto final (por ulceración o crecimiento excesivo de un tumor, síntomas respiratorios etc</w:t>
      </w:r>
      <w:r w:rsidR="00BF1463">
        <w:rPr>
          <w:rFonts w:ascii="Open Sans" w:hAnsi="Open Sans" w:cs="Open Sans"/>
          <w:sz w:val="20"/>
          <w:szCs w:val="20"/>
        </w:rPr>
        <w:t>.</w:t>
      </w:r>
      <w:r w:rsidRPr="00C35D82">
        <w:rPr>
          <w:rFonts w:ascii="Open Sans" w:hAnsi="Open Sans" w:cs="Open Sans"/>
          <w:sz w:val="20"/>
          <w:szCs w:val="20"/>
        </w:rPr>
        <w:t>).</w:t>
      </w:r>
    </w:p>
    <w:p w:rsidR="00BF1463" w:rsidRDefault="00BF1463" w:rsidP="00BF1463">
      <w:pPr>
        <w:suppressAutoHyphens w:val="0"/>
        <w:rPr>
          <w:rFonts w:ascii="Open Sans" w:hAnsi="Open Sans" w:cs="Open Sans"/>
          <w:sz w:val="20"/>
          <w:szCs w:val="20"/>
          <w:u w:val="single"/>
        </w:rPr>
      </w:pPr>
    </w:p>
    <w:p w:rsidR="00C35D82" w:rsidRPr="00BF1463" w:rsidRDefault="00C35D82" w:rsidP="00BF1463">
      <w:pPr>
        <w:spacing w:line="360" w:lineRule="auto"/>
        <w:rPr>
          <w:rFonts w:ascii="Open Sans" w:hAnsi="Open Sans" w:cs="Open Sans"/>
          <w:b/>
          <w:sz w:val="20"/>
          <w:szCs w:val="20"/>
        </w:rPr>
      </w:pPr>
      <w:r w:rsidRPr="00BF1463">
        <w:rPr>
          <w:rFonts w:ascii="Open Sans" w:hAnsi="Open Sans" w:cs="Open Sans"/>
          <w:b/>
          <w:sz w:val="20"/>
          <w:szCs w:val="20"/>
        </w:rPr>
        <w:t>Caso 2: Eutanasia programada ≠ Eutanasia no programada</w:t>
      </w:r>
    </w:p>
    <w:p w:rsidR="00C35D82" w:rsidRPr="00C35D82" w:rsidRDefault="00C35D82" w:rsidP="00BF1463">
      <w:pPr>
        <w:spacing w:line="360" w:lineRule="auto"/>
        <w:rPr>
          <w:rFonts w:ascii="Open Sans" w:hAnsi="Open Sans" w:cs="Open Sans"/>
          <w:sz w:val="20"/>
          <w:szCs w:val="20"/>
        </w:rPr>
      </w:pPr>
      <w:r w:rsidRPr="00C35D82">
        <w:rPr>
          <w:rFonts w:ascii="Open Sans" w:hAnsi="Open Sans" w:cs="Open Sans"/>
          <w:sz w:val="20"/>
          <w:szCs w:val="20"/>
        </w:rPr>
        <w:t xml:space="preserve">En un procedimiento de inmunosupresión por irradiación y posterior </w:t>
      </w:r>
      <w:r w:rsidR="00BF1463" w:rsidRPr="00C35D82">
        <w:rPr>
          <w:rFonts w:ascii="Open Sans" w:hAnsi="Open Sans" w:cs="Open Sans"/>
          <w:sz w:val="20"/>
          <w:szCs w:val="20"/>
        </w:rPr>
        <w:t>trasplante</w:t>
      </w:r>
      <w:r w:rsidRPr="00C35D82">
        <w:rPr>
          <w:rFonts w:ascii="Open Sans" w:hAnsi="Open Sans" w:cs="Open Sans"/>
          <w:sz w:val="20"/>
          <w:szCs w:val="20"/>
        </w:rPr>
        <w:t>, puedo tener prevista una eutanasia programa a X días post-</w:t>
      </w:r>
      <w:r w:rsidR="00BF1463" w:rsidRPr="00C35D82">
        <w:rPr>
          <w:rFonts w:ascii="Open Sans" w:hAnsi="Open Sans" w:cs="Open Sans"/>
          <w:sz w:val="20"/>
          <w:szCs w:val="20"/>
        </w:rPr>
        <w:t>trasplante</w:t>
      </w:r>
      <w:r w:rsidRPr="00C35D82">
        <w:rPr>
          <w:rFonts w:ascii="Open Sans" w:hAnsi="Open Sans" w:cs="Open Sans"/>
          <w:sz w:val="20"/>
          <w:szCs w:val="20"/>
        </w:rPr>
        <w:t xml:space="preserve"> por dislocación cervical, y una eutanasia no programada mediante dióxido de carbono para aquellos animales que, siguiendo el criterio establecido de punto final (pérdida de peso por diarreas etc</w:t>
      </w:r>
      <w:r w:rsidR="00BF1463">
        <w:rPr>
          <w:rFonts w:ascii="Open Sans" w:hAnsi="Open Sans" w:cs="Open Sans"/>
          <w:sz w:val="20"/>
          <w:szCs w:val="20"/>
        </w:rPr>
        <w:t>.</w:t>
      </w:r>
      <w:r w:rsidRPr="00C35D82">
        <w:rPr>
          <w:rFonts w:ascii="Open Sans" w:hAnsi="Open Sans" w:cs="Open Sans"/>
          <w:sz w:val="20"/>
          <w:szCs w:val="20"/>
        </w:rPr>
        <w:t>) sea necesario eliminar por estar comprometido su bienestar.</w:t>
      </w:r>
    </w:p>
    <w:sectPr w:rsidR="00C35D82" w:rsidRPr="00C35D82" w:rsidSect="00E74320">
      <w:headerReference w:type="default" r:id="rId14"/>
      <w:footerReference w:type="default" r:id="rId15"/>
      <w:pgSz w:w="11906" w:h="16838"/>
      <w:pgMar w:top="2552" w:right="1134" w:bottom="851" w:left="1134" w:header="56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CD" w:rsidRDefault="00657FCD">
      <w:pPr>
        <w:rPr>
          <w:rFonts w:hint="eastAsia"/>
        </w:rPr>
      </w:pPr>
      <w:r>
        <w:separator/>
      </w:r>
    </w:p>
  </w:endnote>
  <w:endnote w:type="continuationSeparator" w:id="0">
    <w:p w:rsidR="00657FCD" w:rsidRDefault="00657FC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07" w:rsidRDefault="00184D07" w:rsidP="00A54080">
    <w:pPr>
      <w:pStyle w:val="Piedepgina"/>
      <w:shd w:val="clear" w:color="auto" w:fill="D9D9D9" w:themeFill="background1" w:themeFillShade="D9"/>
      <w:spacing w:line="360" w:lineRule="auto"/>
      <w:jc w:val="right"/>
      <w:rPr>
        <w:rFonts w:ascii="Open Sans" w:hAnsi="Open Sans" w:cs="Open Sans"/>
        <w:b/>
        <w:color w:val="808080" w:themeColor="background1" w:themeShade="80"/>
        <w:sz w:val="20"/>
        <w:szCs w:val="20"/>
        <w:lang w:val="es-ES"/>
      </w:rPr>
    </w:pPr>
    <w:r>
      <w:rPr>
        <w:rFonts w:ascii="Open Sans" w:hAnsi="Open Sans" w:cs="Open Sans"/>
        <w:b/>
        <w:color w:val="808080" w:themeColor="background1" w:themeShade="80"/>
        <w:sz w:val="20"/>
        <w:szCs w:val="20"/>
        <w:lang w:val="es-ES"/>
      </w:rPr>
      <w:t>CÓDIGO</w:t>
    </w:r>
    <w:r w:rsidR="009A088A">
      <w:rPr>
        <w:rFonts w:ascii="Open Sans" w:hAnsi="Open Sans" w:cs="Open Sans"/>
        <w:b/>
        <w:color w:val="808080" w:themeColor="background1" w:themeShade="80"/>
        <w:sz w:val="20"/>
        <w:szCs w:val="20"/>
        <w:lang w:val="es-ES"/>
      </w:rPr>
      <w:t>:</w:t>
    </w:r>
  </w:p>
  <w:p w:rsidR="00184D07" w:rsidRDefault="00A54080" w:rsidP="00184D07">
    <w:pPr>
      <w:pStyle w:val="Piedepgina"/>
      <w:shd w:val="clear" w:color="auto" w:fill="D9D9D9" w:themeFill="background1" w:themeFillShade="D9"/>
      <w:spacing w:line="360" w:lineRule="auto"/>
      <w:jc w:val="right"/>
      <w:rPr>
        <w:rFonts w:ascii="Open Sans" w:hAnsi="Open Sans" w:cs="Open Sans"/>
        <w:color w:val="808080" w:themeColor="background1" w:themeShade="80"/>
        <w:sz w:val="20"/>
        <w:szCs w:val="20"/>
        <w:lang w:val="es-ES"/>
      </w:rPr>
    </w:pPr>
    <w:r w:rsidRPr="00184D07">
      <w:rPr>
        <w:rFonts w:ascii="Open Sans" w:hAnsi="Open Sans" w:cs="Open Sans"/>
        <w:color w:val="808080" w:themeColor="background1" w:themeShade="80"/>
        <w:sz w:val="20"/>
        <w:szCs w:val="20"/>
        <w:lang w:val="es-ES"/>
      </w:rPr>
      <w:t>V</w:t>
    </w:r>
    <w:r w:rsidR="00184D07" w:rsidRPr="00184D07">
      <w:rPr>
        <w:rFonts w:ascii="Open Sans" w:hAnsi="Open Sans" w:cs="Open Sans"/>
        <w:color w:val="808080" w:themeColor="background1" w:themeShade="80"/>
        <w:sz w:val="20"/>
        <w:szCs w:val="20"/>
        <w:lang w:val="es-ES"/>
      </w:rPr>
      <w:t>ersión:</w:t>
    </w:r>
    <w:r w:rsidRPr="00184D07">
      <w:rPr>
        <w:rFonts w:ascii="Open Sans" w:hAnsi="Open Sans" w:cs="Open Sans"/>
        <w:color w:val="808080" w:themeColor="background1" w:themeShade="80"/>
        <w:sz w:val="20"/>
        <w:szCs w:val="20"/>
        <w:lang w:val="es-ES"/>
      </w:rPr>
      <w:t xml:space="preserve"> 0</w:t>
    </w:r>
    <w:r w:rsidR="00184D07" w:rsidRPr="00184D07">
      <w:rPr>
        <w:rFonts w:ascii="Open Sans" w:hAnsi="Open Sans" w:cs="Open Sans"/>
        <w:color w:val="808080" w:themeColor="background1" w:themeShade="80"/>
        <w:sz w:val="20"/>
        <w:szCs w:val="20"/>
        <w:lang w:val="es-ES"/>
      </w:rPr>
      <w:t>1</w:t>
    </w:r>
  </w:p>
  <w:p w:rsidR="00B14911" w:rsidRDefault="00B14911" w:rsidP="00B14911">
    <w:pPr>
      <w:pStyle w:val="Piedepgina"/>
      <w:jc w:val="center"/>
      <w:rPr>
        <w:rFonts w:ascii="Open Sans" w:hAnsi="Open Sans"/>
        <w:color w:val="B2B2B2"/>
        <w:sz w:val="20"/>
        <w:szCs w:val="20"/>
      </w:rPr>
    </w:pPr>
    <w:r>
      <w:rPr>
        <w:rFonts w:ascii="Open Sans" w:hAnsi="Open Sans"/>
        <w:color w:val="B2B2B2"/>
        <w:sz w:val="20"/>
        <w:szCs w:val="20"/>
      </w:rPr>
      <w:t>………………………………………………………………………………………………………………………………………………………………...</w:t>
    </w:r>
  </w:p>
  <w:p w:rsidR="00B14911" w:rsidRDefault="00B14911" w:rsidP="00B14911">
    <w:pPr>
      <w:pStyle w:val="Piedepgina"/>
      <w:jc w:val="center"/>
      <w:rPr>
        <w:rFonts w:hint="eastAsia"/>
      </w:rPr>
    </w:pPr>
    <w:r>
      <w:rPr>
        <w:rFonts w:ascii="Open Sans" w:hAnsi="Open Sans"/>
        <w:color w:val="666666"/>
        <w:sz w:val="20"/>
        <w:szCs w:val="20"/>
      </w:rPr>
      <w:t xml:space="preserve">0221 423-6663/4 </w:t>
    </w:r>
    <w:r>
      <w:rPr>
        <w:rFonts w:ascii="Open Sans" w:hAnsi="Open Sans"/>
        <w:color w:val="666666"/>
        <w:kern w:val="0"/>
        <w:sz w:val="20"/>
        <w:szCs w:val="20"/>
      </w:rPr>
      <w:t xml:space="preserve">Interno </w:t>
    </w:r>
    <w:r>
      <w:rPr>
        <w:rFonts w:ascii="Open Sans" w:hAnsi="Open Sans"/>
        <w:color w:val="666666"/>
        <w:sz w:val="20"/>
        <w:szCs w:val="20"/>
      </w:rPr>
      <w:t>440 // cicual@fcv.unlp.edu.ar // www.fcv.unlp.edu.ar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CD" w:rsidRDefault="00657FCD">
      <w:pPr>
        <w:rPr>
          <w:rFonts w:hint="eastAsia"/>
        </w:rPr>
      </w:pPr>
      <w:r>
        <w:rPr>
          <w:color w:val="000000"/>
        </w:rPr>
        <w:separator/>
      </w:r>
    </w:p>
  </w:footnote>
  <w:footnote w:type="continuationSeparator" w:id="0">
    <w:p w:rsidR="00657FCD" w:rsidRDefault="00657FC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00" w:rsidRDefault="00F67A00">
    <w:pPr>
      <w:pStyle w:val="Encabezado"/>
      <w:rPr>
        <w:rFonts w:hint="eastAsia"/>
      </w:rPr>
    </w:pPr>
    <w:r>
      <w:rPr>
        <w:noProof/>
        <w:lang w:eastAsia="es-AR" w:bidi="ar-SA"/>
      </w:rPr>
      <w:drawing>
        <wp:inline distT="0" distB="0" distL="0" distR="0" wp14:anchorId="0A0E9E12" wp14:editId="6DD2DA53">
          <wp:extent cx="6119493" cy="1095378"/>
          <wp:effectExtent l="0" t="0" r="0" b="0"/>
          <wp:docPr id="1" name="Picture 1" descr="C:\Users\Iñaki\AppData\Local\Microsoft\Windows\INetCache\Content.Word\__CICU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19493" cy="109537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C6F"/>
    <w:multiLevelType w:val="hybridMultilevel"/>
    <w:tmpl w:val="56880016"/>
    <w:lvl w:ilvl="0" w:tplc="81FC25B0">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6E36C9"/>
    <w:multiLevelType w:val="hybridMultilevel"/>
    <w:tmpl w:val="3B30EF48"/>
    <w:lvl w:ilvl="0" w:tplc="521A25E6">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A81A24"/>
    <w:multiLevelType w:val="hybridMultilevel"/>
    <w:tmpl w:val="B0E61B5E"/>
    <w:lvl w:ilvl="0" w:tplc="A6688D9A">
      <w:start w:val="2"/>
      <w:numFmt w:val="bullet"/>
      <w:lvlText w:val="-"/>
      <w:lvlJc w:val="left"/>
      <w:pPr>
        <w:ind w:left="720" w:hanging="360"/>
      </w:pPr>
      <w:rPr>
        <w:rFonts w:ascii="Open Sans" w:eastAsia="SimSu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E14E49"/>
    <w:multiLevelType w:val="hybridMultilevel"/>
    <w:tmpl w:val="640808AE"/>
    <w:lvl w:ilvl="0" w:tplc="60529D8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C5EDE"/>
    <w:multiLevelType w:val="hybridMultilevel"/>
    <w:tmpl w:val="D8BE9F4E"/>
    <w:lvl w:ilvl="0" w:tplc="AC0E095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F61639"/>
    <w:multiLevelType w:val="hybridMultilevel"/>
    <w:tmpl w:val="05FAA756"/>
    <w:lvl w:ilvl="0" w:tplc="B5A27E6A">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286BC9"/>
    <w:multiLevelType w:val="hybridMultilevel"/>
    <w:tmpl w:val="502AD4A6"/>
    <w:lvl w:ilvl="0" w:tplc="B14EA20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FA6012"/>
    <w:multiLevelType w:val="hybridMultilevel"/>
    <w:tmpl w:val="DAEE88C8"/>
    <w:lvl w:ilvl="0" w:tplc="C4884B32">
      <w:start w:val="1"/>
      <w:numFmt w:val="lowerLetter"/>
      <w:lvlText w:val="%1)"/>
      <w:lvlJc w:val="left"/>
      <w:pPr>
        <w:tabs>
          <w:tab w:val="num" w:pos="1080"/>
        </w:tabs>
        <w:ind w:left="1080" w:hanging="360"/>
      </w:pPr>
      <w:rPr>
        <w:rFonts w:hint="default"/>
      </w:rPr>
    </w:lvl>
    <w:lvl w:ilvl="1" w:tplc="76B8F85E">
      <w:start w:val="1"/>
      <w:numFmt w:val="bullet"/>
      <w:lvlText w:val="-"/>
      <w:lvlJc w:val="left"/>
      <w:pPr>
        <w:tabs>
          <w:tab w:val="num" w:pos="1800"/>
        </w:tabs>
        <w:ind w:left="1800" w:hanging="360"/>
      </w:pPr>
      <w:rPr>
        <w:rFonts w:ascii="Arial" w:eastAsia="Times New Roman" w:hAnsi="Arial" w:cs="Arial" w:hint="default"/>
      </w:rPr>
    </w:lvl>
    <w:lvl w:ilvl="2" w:tplc="DC9E281E">
      <w:start w:val="1"/>
      <w:numFmt w:val="lowerRoman"/>
      <w:lvlText w:val="%3."/>
      <w:lvlJc w:val="right"/>
      <w:pPr>
        <w:tabs>
          <w:tab w:val="num" w:pos="2520"/>
        </w:tabs>
        <w:ind w:left="2520" w:hanging="180"/>
      </w:pPr>
      <w:rPr>
        <w:rFonts w:ascii="Open Sans" w:eastAsia="SimSun" w:hAnsi="Open Sans" w:cs="Open Sans"/>
      </w:rPr>
    </w:lvl>
    <w:lvl w:ilvl="3" w:tplc="73949510">
      <w:start w:val="1"/>
      <w:numFmt w:val="decimal"/>
      <w:lvlText w:val="%4."/>
      <w:lvlJc w:val="left"/>
      <w:pPr>
        <w:tabs>
          <w:tab w:val="num" w:pos="3240"/>
        </w:tabs>
        <w:ind w:left="3240" w:hanging="360"/>
      </w:pPr>
      <w:rPr>
        <w:rFonts w:ascii="Times New Roman" w:eastAsia="Times New Roman" w:hAnsi="Times New Roman" w:cs="Times New Roman"/>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69D84132"/>
    <w:multiLevelType w:val="hybridMultilevel"/>
    <w:tmpl w:val="507864A4"/>
    <w:lvl w:ilvl="0" w:tplc="6FA6B814">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6D9F2F89"/>
    <w:multiLevelType w:val="hybridMultilevel"/>
    <w:tmpl w:val="43B61472"/>
    <w:lvl w:ilvl="0" w:tplc="C4B25690">
      <w:start w:val="1"/>
      <w:numFmt w:val="decimal"/>
      <w:lvlText w:val="%1-"/>
      <w:lvlJc w:val="left"/>
      <w:pPr>
        <w:ind w:left="785" w:hanging="360"/>
      </w:pPr>
      <w:rPr>
        <w:rFonts w:hint="default"/>
        <w:b/>
        <w:i w:val="0"/>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num w:numId="1">
    <w:abstractNumId w:val="9"/>
  </w:num>
  <w:num w:numId="2">
    <w:abstractNumId w:val="5"/>
  </w:num>
  <w:num w:numId="3">
    <w:abstractNumId w:val="7"/>
  </w:num>
  <w:num w:numId="4">
    <w:abstractNumId w:val="8"/>
  </w:num>
  <w:num w:numId="5">
    <w:abstractNumId w:val="0"/>
  </w:num>
  <w:num w:numId="6">
    <w:abstractNumId w:val="6"/>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3006"/>
    <w:rsid w:val="00001610"/>
    <w:rsid w:val="000565C9"/>
    <w:rsid w:val="0008664F"/>
    <w:rsid w:val="000C7A23"/>
    <w:rsid w:val="0011427A"/>
    <w:rsid w:val="0012792D"/>
    <w:rsid w:val="00152E97"/>
    <w:rsid w:val="00184D07"/>
    <w:rsid w:val="001B1260"/>
    <w:rsid w:val="001B6F58"/>
    <w:rsid w:val="0021512C"/>
    <w:rsid w:val="00217634"/>
    <w:rsid w:val="00244EB1"/>
    <w:rsid w:val="002B6213"/>
    <w:rsid w:val="002F768D"/>
    <w:rsid w:val="0034503E"/>
    <w:rsid w:val="003845B2"/>
    <w:rsid w:val="003F5D1B"/>
    <w:rsid w:val="00473006"/>
    <w:rsid w:val="004E4A65"/>
    <w:rsid w:val="00517CEC"/>
    <w:rsid w:val="00657FCD"/>
    <w:rsid w:val="006C43EF"/>
    <w:rsid w:val="006E4B85"/>
    <w:rsid w:val="007101AD"/>
    <w:rsid w:val="00721999"/>
    <w:rsid w:val="00756F29"/>
    <w:rsid w:val="007B5FF5"/>
    <w:rsid w:val="007D4232"/>
    <w:rsid w:val="007E62A3"/>
    <w:rsid w:val="009A088A"/>
    <w:rsid w:val="009E4272"/>
    <w:rsid w:val="00A54080"/>
    <w:rsid w:val="00AB4BB4"/>
    <w:rsid w:val="00B11877"/>
    <w:rsid w:val="00B14911"/>
    <w:rsid w:val="00B24ABB"/>
    <w:rsid w:val="00BA53DA"/>
    <w:rsid w:val="00BF1463"/>
    <w:rsid w:val="00C35D82"/>
    <w:rsid w:val="00C37EB6"/>
    <w:rsid w:val="00E11D4E"/>
    <w:rsid w:val="00E74320"/>
    <w:rsid w:val="00F66717"/>
    <w:rsid w:val="00F67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A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Normal"/>
    <w:link w:val="PiedepginaCar"/>
    <w:pPr>
      <w:tabs>
        <w:tab w:val="center" w:pos="4419"/>
        <w:tab w:val="right" w:pos="8838"/>
      </w:tabs>
    </w:pPr>
    <w:rPr>
      <w:szCs w:val="21"/>
    </w:rPr>
  </w:style>
  <w:style w:type="paragraph" w:styleId="Encabezado">
    <w:name w:val="header"/>
    <w:basedOn w:val="Normal"/>
    <w:link w:val="EncabezadoCar"/>
    <w:uiPriority w:val="99"/>
    <w:pPr>
      <w:tabs>
        <w:tab w:val="center" w:pos="4419"/>
        <w:tab w:val="right" w:pos="8838"/>
      </w:tabs>
    </w:pPr>
    <w:rPr>
      <w:szCs w:val="21"/>
    </w:rPr>
  </w:style>
  <w:style w:type="character" w:customStyle="1" w:styleId="Internetlink">
    <w:name w:val="Internet link"/>
    <w:rPr>
      <w:color w:val="000080"/>
      <w:u w:val="single"/>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character" w:styleId="Hipervnculo">
    <w:name w:val="Hyperlink"/>
    <w:basedOn w:val="Fuentedeprrafopredeter"/>
    <w:rPr>
      <w:color w:val="0000FF"/>
      <w:u w:val="single"/>
    </w:rPr>
  </w:style>
  <w:style w:type="character" w:customStyle="1" w:styleId="HeaderChar">
    <w:name w:val="Header Char"/>
    <w:basedOn w:val="Fuentedeprrafopredeter"/>
    <w:rPr>
      <w:szCs w:val="21"/>
    </w:rPr>
  </w:style>
  <w:style w:type="character" w:customStyle="1" w:styleId="FooterChar">
    <w:name w:val="Footer Char"/>
    <w:basedOn w:val="Fuentedeprrafopredeter"/>
    <w:rPr>
      <w:szCs w:val="21"/>
    </w:rPr>
  </w:style>
  <w:style w:type="table" w:customStyle="1" w:styleId="Tablaconcuadrcula1">
    <w:name w:val="Tabla con cuadrícula1"/>
    <w:basedOn w:val="Tablanormal"/>
    <w:next w:val="Tablaconcuadrcula"/>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6717"/>
    <w:rPr>
      <w:sz w:val="20"/>
      <w:szCs w:val="18"/>
    </w:rPr>
  </w:style>
  <w:style w:type="character" w:customStyle="1" w:styleId="TextonotapieCar">
    <w:name w:val="Texto nota pie Car"/>
    <w:basedOn w:val="Fuentedeprrafopredeter"/>
    <w:link w:val="Textonotapie"/>
    <w:uiPriority w:val="99"/>
    <w:semiHidden/>
    <w:rsid w:val="00F66717"/>
    <w:rPr>
      <w:sz w:val="20"/>
      <w:szCs w:val="18"/>
    </w:rPr>
  </w:style>
  <w:style w:type="character" w:styleId="Refdenotaalpie">
    <w:name w:val="footnote reference"/>
    <w:basedOn w:val="Fuentedeprrafopredeter"/>
    <w:uiPriority w:val="99"/>
    <w:semiHidden/>
    <w:unhideWhenUsed/>
    <w:rsid w:val="00F66717"/>
    <w:rPr>
      <w:vertAlign w:val="superscript"/>
    </w:rPr>
  </w:style>
  <w:style w:type="paragraph" w:styleId="NormalWeb">
    <w:name w:val="Normal (Web)"/>
    <w:basedOn w:val="Normal"/>
    <w:rsid w:val="00B11877"/>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B11877"/>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uentedeprrafopredeter1">
    <w:name w:val="Fuente de párrafo predeter.1"/>
    <w:rsid w:val="006C43EF"/>
  </w:style>
  <w:style w:type="character" w:customStyle="1" w:styleId="EncabezadoCar">
    <w:name w:val="Encabezado Car"/>
    <w:basedOn w:val="Fuentedeprrafopredeter"/>
    <w:link w:val="Encabezado"/>
    <w:uiPriority w:val="99"/>
    <w:rsid w:val="00BF1463"/>
    <w:rPr>
      <w:szCs w:val="21"/>
    </w:rPr>
  </w:style>
  <w:style w:type="character" w:customStyle="1" w:styleId="PiedepginaCar">
    <w:name w:val="Pie de página Car"/>
    <w:basedOn w:val="Fuentedeprrafopredeter"/>
    <w:link w:val="Piedepgina"/>
    <w:rsid w:val="00B14911"/>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A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Normal"/>
    <w:link w:val="PiedepginaCar"/>
    <w:pPr>
      <w:tabs>
        <w:tab w:val="center" w:pos="4419"/>
        <w:tab w:val="right" w:pos="8838"/>
      </w:tabs>
    </w:pPr>
    <w:rPr>
      <w:szCs w:val="21"/>
    </w:rPr>
  </w:style>
  <w:style w:type="paragraph" w:styleId="Encabezado">
    <w:name w:val="header"/>
    <w:basedOn w:val="Normal"/>
    <w:link w:val="EncabezadoCar"/>
    <w:uiPriority w:val="99"/>
    <w:pPr>
      <w:tabs>
        <w:tab w:val="center" w:pos="4419"/>
        <w:tab w:val="right" w:pos="8838"/>
      </w:tabs>
    </w:pPr>
    <w:rPr>
      <w:szCs w:val="21"/>
    </w:rPr>
  </w:style>
  <w:style w:type="character" w:customStyle="1" w:styleId="Internetlink">
    <w:name w:val="Internet link"/>
    <w:rPr>
      <w:color w:val="000080"/>
      <w:u w:val="single"/>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character" w:styleId="Hipervnculo">
    <w:name w:val="Hyperlink"/>
    <w:basedOn w:val="Fuentedeprrafopredeter"/>
    <w:rPr>
      <w:color w:val="0000FF"/>
      <w:u w:val="single"/>
    </w:rPr>
  </w:style>
  <w:style w:type="character" w:customStyle="1" w:styleId="HeaderChar">
    <w:name w:val="Header Char"/>
    <w:basedOn w:val="Fuentedeprrafopredeter"/>
    <w:rPr>
      <w:szCs w:val="21"/>
    </w:rPr>
  </w:style>
  <w:style w:type="character" w:customStyle="1" w:styleId="FooterChar">
    <w:name w:val="Footer Char"/>
    <w:basedOn w:val="Fuentedeprrafopredeter"/>
    <w:rPr>
      <w:szCs w:val="21"/>
    </w:rPr>
  </w:style>
  <w:style w:type="table" w:customStyle="1" w:styleId="Tablaconcuadrcula1">
    <w:name w:val="Tabla con cuadrícula1"/>
    <w:basedOn w:val="Tablanormal"/>
    <w:next w:val="Tablaconcuadrcula"/>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6717"/>
    <w:rPr>
      <w:sz w:val="20"/>
      <w:szCs w:val="18"/>
    </w:rPr>
  </w:style>
  <w:style w:type="character" w:customStyle="1" w:styleId="TextonotapieCar">
    <w:name w:val="Texto nota pie Car"/>
    <w:basedOn w:val="Fuentedeprrafopredeter"/>
    <w:link w:val="Textonotapie"/>
    <w:uiPriority w:val="99"/>
    <w:semiHidden/>
    <w:rsid w:val="00F66717"/>
    <w:rPr>
      <w:sz w:val="20"/>
      <w:szCs w:val="18"/>
    </w:rPr>
  </w:style>
  <w:style w:type="character" w:styleId="Refdenotaalpie">
    <w:name w:val="footnote reference"/>
    <w:basedOn w:val="Fuentedeprrafopredeter"/>
    <w:uiPriority w:val="99"/>
    <w:semiHidden/>
    <w:unhideWhenUsed/>
    <w:rsid w:val="00F66717"/>
    <w:rPr>
      <w:vertAlign w:val="superscript"/>
    </w:rPr>
  </w:style>
  <w:style w:type="paragraph" w:styleId="NormalWeb">
    <w:name w:val="Normal (Web)"/>
    <w:basedOn w:val="Normal"/>
    <w:rsid w:val="00B11877"/>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B11877"/>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uentedeprrafopredeter1">
    <w:name w:val="Fuente de párrafo predeter.1"/>
    <w:rsid w:val="006C43EF"/>
  </w:style>
  <w:style w:type="character" w:customStyle="1" w:styleId="EncabezadoCar">
    <w:name w:val="Encabezado Car"/>
    <w:basedOn w:val="Fuentedeprrafopredeter"/>
    <w:link w:val="Encabezado"/>
    <w:uiPriority w:val="99"/>
    <w:rsid w:val="00BF1463"/>
    <w:rPr>
      <w:szCs w:val="21"/>
    </w:rPr>
  </w:style>
  <w:style w:type="character" w:customStyle="1" w:styleId="PiedepginaCar">
    <w:name w:val="Pie de página Car"/>
    <w:basedOn w:val="Fuentedeprrafopredeter"/>
    <w:link w:val="Piedepgina"/>
    <w:rsid w:val="00B1491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al.es/word-pdf/eutanasia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al.es/word-pdf/eutanasia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l.org.uk/endpoints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cac.ca/en/CCAC_Programs/Guidelines_Policies/GDLINES/ENDPTS/APPOPEN.HTM" TargetMode="External"/><Relationship Id="rId4" Type="http://schemas.microsoft.com/office/2007/relationships/stylesWithEffects" Target="stylesWithEffects.xml"/><Relationship Id="rId9" Type="http://schemas.openxmlformats.org/officeDocument/2006/relationships/hyperlink" Target="http://dels.nas.edu/ilar_n/ilarjournal/41_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80D4-80DF-49DB-9814-D0FF42E9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dc:creator>
  <cp:lastModifiedBy>Eleonora Rolleri</cp:lastModifiedBy>
  <cp:revision>5</cp:revision>
  <cp:lastPrinted>2019-08-23T14:22:00Z</cp:lastPrinted>
  <dcterms:created xsi:type="dcterms:W3CDTF">2019-11-29T14:30:00Z</dcterms:created>
  <dcterms:modified xsi:type="dcterms:W3CDTF">2020-04-24T15:01:00Z</dcterms:modified>
</cp:coreProperties>
</file>